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D7582">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781B6F54">
      <w:pPr>
        <w:jc w:val="center"/>
        <w:rPr>
          <w:rFonts w:ascii="方正黑体_GBK" w:hAnsi="方正黑体_GBK" w:eastAsia="方正黑体_GBK" w:cs="方正黑体_GBK"/>
          <w:sz w:val="36"/>
          <w:szCs w:val="36"/>
        </w:rPr>
      </w:pPr>
      <w:r>
        <w:rPr>
          <w:rFonts w:hint="eastAsia" w:ascii="方正小标宋_GBK" w:hAnsi="方正小标宋_GBK" w:eastAsia="方正小标宋_GBK" w:cs="方正小标宋_GBK"/>
          <w:sz w:val="44"/>
          <w:szCs w:val="44"/>
        </w:rPr>
        <w:t>服务需求</w:t>
      </w:r>
    </w:p>
    <w:p w14:paraId="707212B4">
      <w:pPr>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一、项目背景</w:t>
      </w:r>
    </w:p>
    <w:p w14:paraId="5BEC92B0">
      <w:pPr>
        <w:pStyle w:val="2"/>
        <w:spacing w:line="600" w:lineRule="exact"/>
        <w:ind w:firstLine="640"/>
        <w:rPr>
          <w:rFonts w:hint="eastAsia" w:ascii="Times New Roman Regular" w:hAnsi="Times New Roman Regular" w:eastAsia="方正仿宋_GBK" w:cs="Times New Roman Regular"/>
          <w:b w:val="0"/>
          <w:bCs/>
          <w:sz w:val="32"/>
          <w:szCs w:val="32"/>
        </w:rPr>
      </w:pPr>
      <w:r>
        <w:rPr>
          <w:rFonts w:hint="default" w:ascii="Times New Roman Regular" w:hAnsi="Times New Roman Regular" w:eastAsia="方正仿宋_GBK" w:cs="Times New Roman Regular"/>
          <w:b w:val="0"/>
          <w:bCs/>
          <w:sz w:val="32"/>
          <w:szCs w:val="32"/>
        </w:rPr>
        <w:t>锦里壹号院片区</w:t>
      </w:r>
      <w:r>
        <w:rPr>
          <w:rFonts w:hint="eastAsia" w:ascii="Times New Roman Regular" w:hAnsi="Times New Roman Regular" w:eastAsia="方正仿宋_GBK" w:cs="Times New Roman Regular"/>
          <w:b w:val="0"/>
          <w:bCs/>
          <w:sz w:val="32"/>
          <w:szCs w:val="32"/>
        </w:rPr>
        <w:t>位于锦里现游客动线的尾端，单体建筑大、占地面积广、空间相对独立，加之又与成都市重大文旅项目“三国蜀汉城”接壤，区位相对特殊。</w:t>
      </w:r>
    </w:p>
    <w:p w14:paraId="448B771C">
      <w:pPr>
        <w:pStyle w:val="2"/>
        <w:spacing w:line="600" w:lineRule="exact"/>
        <w:ind w:firstLine="640"/>
        <w:rPr>
          <w:rFonts w:hint="default" w:ascii="Times New Roman Regular" w:hAnsi="Times New Roman Regular" w:eastAsia="方正仿宋_GBK" w:cs="Times New Roman Regular"/>
          <w:b w:val="0"/>
          <w:bCs/>
          <w:sz w:val="32"/>
          <w:szCs w:val="32"/>
          <w:lang w:val="en-US" w:eastAsia="zh-CN"/>
        </w:rPr>
      </w:pPr>
      <w:r>
        <w:rPr>
          <w:rFonts w:hint="eastAsia" w:ascii="Times New Roman Regular" w:hAnsi="Times New Roman Regular" w:eastAsia="方正仿宋_GBK" w:cs="Times New Roman Regular"/>
          <w:b w:val="0"/>
          <w:bCs/>
          <w:sz w:val="32"/>
          <w:szCs w:val="32"/>
          <w:lang w:val="en-US" w:eastAsia="zh-CN"/>
        </w:rPr>
        <w:t>2026年1月1日，锦里壹号院片区由成都武侯祠博物馆正式全面接管。为践行省委、市委关于加强文商旅融合发展的指示精神，切实落实国有资产管理主体责任，成都武侯祠博物馆积极探索文商旅融合的产业化发展路径，实现社会效益与经济效益的协调统一。</w:t>
      </w:r>
    </w:p>
    <w:p w14:paraId="4A0BD77C">
      <w:pPr>
        <w:pStyle w:val="2"/>
        <w:spacing w:line="600" w:lineRule="exact"/>
        <w:ind w:firstLine="640"/>
        <w:rPr>
          <w:rFonts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二、项目内容</w:t>
      </w:r>
    </w:p>
    <w:p w14:paraId="5AA8B75F">
      <w:pPr>
        <w:pStyle w:val="3"/>
        <w:spacing w:before="0" w:after="0" w:line="600" w:lineRule="exact"/>
        <w:ind w:firstLine="640"/>
        <w:rPr>
          <w:rFonts w:eastAsia="方正仿宋_GBK"/>
          <w:sz w:val="32"/>
          <w:szCs w:val="32"/>
        </w:rPr>
      </w:pPr>
      <w:r>
        <w:rPr>
          <w:rFonts w:eastAsia="方正仿宋_GBK"/>
          <w:sz w:val="32"/>
          <w:szCs w:val="32"/>
        </w:rPr>
        <w:t>壹号院片区</w:t>
      </w:r>
      <w:r>
        <w:rPr>
          <w:rFonts w:hint="eastAsia" w:ascii="Times New Roman Regular" w:hAnsi="Times New Roman Regular" w:eastAsia="方正仿宋_GBK" w:cs="Times New Roman Regular"/>
          <w:b w:val="0"/>
          <w:bCs/>
          <w:sz w:val="32"/>
          <w:szCs w:val="32"/>
        </w:rPr>
        <w:t>位于刘湘陵园北侧，</w:t>
      </w:r>
      <w:r>
        <w:rPr>
          <w:rFonts w:hint="eastAsia" w:eastAsia="方正仿宋_GBK"/>
          <w:sz w:val="32"/>
          <w:szCs w:val="32"/>
        </w:rPr>
        <w:t>西</w:t>
      </w:r>
      <w:r>
        <w:rPr>
          <w:rFonts w:eastAsia="方正仿宋_GBK"/>
          <w:sz w:val="32"/>
          <w:szCs w:val="32"/>
        </w:rPr>
        <w:t>临武侯祠，</w:t>
      </w:r>
      <w:r>
        <w:rPr>
          <w:rFonts w:hint="eastAsia" w:eastAsia="方正仿宋_GBK"/>
          <w:sz w:val="32"/>
          <w:szCs w:val="32"/>
        </w:rPr>
        <w:t>东南</w:t>
      </w:r>
      <w:r>
        <w:rPr>
          <w:rFonts w:eastAsia="方正仿宋_GBK"/>
          <w:sz w:val="32"/>
          <w:szCs w:val="32"/>
        </w:rPr>
        <w:t>接锦里主街商业带，北连</w:t>
      </w:r>
      <w:r>
        <w:rPr>
          <w:rFonts w:hint="eastAsia" w:eastAsia="方正仿宋_GBK"/>
          <w:sz w:val="32"/>
          <w:szCs w:val="32"/>
        </w:rPr>
        <w:t>611所</w:t>
      </w:r>
      <w:r>
        <w:rPr>
          <w:rFonts w:eastAsia="方正仿宋_GBK"/>
          <w:sz w:val="32"/>
          <w:szCs w:val="32"/>
        </w:rPr>
        <w:t>，总占地面积</w:t>
      </w:r>
      <w:r>
        <w:rPr>
          <w:rFonts w:hint="eastAsia" w:eastAsia="方正仿宋_GBK"/>
          <w:sz w:val="32"/>
          <w:szCs w:val="32"/>
        </w:rPr>
        <w:t>131</w:t>
      </w:r>
      <w:r>
        <w:rPr>
          <w:rFonts w:hint="eastAsia" w:eastAsia="方正仿宋_GBK"/>
          <w:sz w:val="32"/>
          <w:szCs w:val="32"/>
          <w:lang w:val="en-US" w:eastAsia="zh-CN"/>
        </w:rPr>
        <w:t>52.5</w:t>
      </w:r>
      <w:r>
        <w:rPr>
          <w:rFonts w:eastAsia="方正仿宋_GBK"/>
          <w:sz w:val="32"/>
          <w:szCs w:val="32"/>
        </w:rPr>
        <w:t>平方米，建筑面积</w:t>
      </w:r>
      <w:r>
        <w:rPr>
          <w:rFonts w:hint="eastAsia" w:eastAsia="方正仿宋_GBK"/>
          <w:sz w:val="32"/>
          <w:szCs w:val="32"/>
        </w:rPr>
        <w:t>4150</w:t>
      </w:r>
      <w:r>
        <w:rPr>
          <w:rFonts w:hint="eastAsia" w:eastAsia="方正仿宋_GBK"/>
          <w:sz w:val="32"/>
          <w:szCs w:val="32"/>
          <w:lang w:val="en-US" w:eastAsia="zh-CN"/>
        </w:rPr>
        <w:t>.80</w:t>
      </w:r>
      <w:r>
        <w:rPr>
          <w:rFonts w:eastAsia="方正仿宋_GBK"/>
          <w:sz w:val="32"/>
          <w:szCs w:val="32"/>
        </w:rPr>
        <w:t>平方米。</w:t>
      </w:r>
    </w:p>
    <w:p w14:paraId="5FB7452E">
      <w:pPr>
        <w:pStyle w:val="3"/>
        <w:spacing w:before="0" w:after="0" w:line="600" w:lineRule="exact"/>
        <w:ind w:firstLine="640"/>
        <w:rPr>
          <w:rFonts w:hint="eastAsia" w:eastAsia="方正仿宋_GBK"/>
          <w:sz w:val="32"/>
          <w:szCs w:val="32"/>
          <w:lang w:val="en-US" w:eastAsia="zh-CN"/>
        </w:rPr>
      </w:pPr>
      <w:r>
        <w:rPr>
          <w:rFonts w:hint="eastAsia" w:eastAsia="方正仿宋_GBK"/>
          <w:sz w:val="32"/>
          <w:szCs w:val="32"/>
          <w:lang w:val="en-US" w:eastAsia="zh-CN"/>
        </w:rPr>
        <w:t>壹号院片区功能分区及面积详情：</w:t>
      </w:r>
    </w:p>
    <w:p w14:paraId="77679116">
      <w:pPr>
        <w:pStyle w:val="3"/>
        <w:spacing w:before="0" w:after="0" w:line="600" w:lineRule="exact"/>
        <w:ind w:firstLine="640"/>
        <w:rPr>
          <w:rFonts w:hint="eastAsia" w:eastAsia="方正仿宋_GBK"/>
          <w:sz w:val="32"/>
          <w:szCs w:val="32"/>
          <w:lang w:val="en-US" w:eastAsia="zh-CN"/>
        </w:rPr>
      </w:pPr>
      <w:r>
        <w:rPr>
          <w:rFonts w:hint="eastAsia" w:eastAsia="方正仿宋_GBK"/>
          <w:sz w:val="32"/>
          <w:szCs w:val="32"/>
          <w:lang w:val="en-US" w:eastAsia="zh-CN"/>
        </w:rPr>
        <w:t>1.公共服务严控区，面积为2632.58平方米。其中包含道路1624.79平方米，广场1007.79平方米。该区域仅用于面向公众的公共服务，涵盖游览通道、消防应急通道、公共休憩设施、公共厕所等公益性功能。该区域禁止从事任何商业行为，禁止设置任何商业临时设施及装置。</w:t>
      </w:r>
    </w:p>
    <w:p w14:paraId="06FC47C6">
      <w:pPr>
        <w:pStyle w:val="3"/>
        <w:spacing w:before="0" w:after="0" w:line="600" w:lineRule="exact"/>
        <w:ind w:firstLine="640"/>
        <w:rPr>
          <w:rFonts w:hint="eastAsia" w:eastAsia="方正仿宋_GBK"/>
          <w:sz w:val="32"/>
          <w:szCs w:val="32"/>
          <w:lang w:val="en-US" w:eastAsia="zh-CN"/>
        </w:rPr>
      </w:pPr>
      <w:r>
        <w:rPr>
          <w:rFonts w:hint="eastAsia" w:eastAsia="方正仿宋_GBK"/>
          <w:sz w:val="32"/>
          <w:szCs w:val="32"/>
          <w:lang w:val="en-US" w:eastAsia="zh-CN"/>
        </w:rPr>
        <w:t>2.生态保护严控区，面积为3103.52平方米。其中包含绿化2503.85平方米，水域599.79平方米。该区域完整呈现以西蜀园林为基调的园林绿化、水系等自然生态景观，营造自然本真意境。该区域禁止从事任何商业行为，禁止设置任何商业临时设施及装置。</w:t>
      </w:r>
    </w:p>
    <w:p w14:paraId="407FB6A3">
      <w:pPr>
        <w:pStyle w:val="3"/>
        <w:spacing w:before="0" w:after="0" w:line="600" w:lineRule="exact"/>
        <w:ind w:firstLine="640"/>
        <w:rPr>
          <w:rFonts w:hint="eastAsia" w:eastAsia="方正仿宋_GBK"/>
          <w:sz w:val="32"/>
          <w:szCs w:val="32"/>
          <w:lang w:val="en-US" w:eastAsia="zh-CN"/>
        </w:rPr>
      </w:pPr>
      <w:r>
        <w:rPr>
          <w:rFonts w:hint="eastAsia" w:eastAsia="方正仿宋_GBK"/>
          <w:sz w:val="32"/>
          <w:szCs w:val="32"/>
          <w:lang w:val="en-US" w:eastAsia="zh-CN"/>
        </w:rPr>
        <w:t>3.演艺场景呈现区，面积为2110平方米。该区域用于在自然景观中打造具有三国文化特色的独特性、艺术性、沉浸式演艺场景，仅限于演艺剧目展示、表演、科技秀、灯光秀等。该区域仅供专业演职人员在演出和展示期间出入作为演出场景构成一部分，禁止游客入内。该区域禁止从事任何商业行为，禁止设置任何商业临时设施及装置。</w:t>
      </w:r>
    </w:p>
    <w:p w14:paraId="5FD74E01">
      <w:pPr>
        <w:pStyle w:val="3"/>
        <w:spacing w:before="0" w:after="0" w:line="600" w:lineRule="exact"/>
        <w:ind w:firstLine="640"/>
        <w:rPr>
          <w:rFonts w:hint="eastAsia" w:eastAsia="方正仿宋_GBK"/>
          <w:sz w:val="32"/>
          <w:szCs w:val="32"/>
          <w:lang w:val="en-US" w:eastAsia="zh-CN"/>
        </w:rPr>
      </w:pPr>
      <w:r>
        <w:rPr>
          <w:rFonts w:hint="eastAsia" w:eastAsia="方正仿宋_GBK"/>
          <w:sz w:val="32"/>
          <w:szCs w:val="32"/>
          <w:lang w:val="en-US" w:eastAsia="zh-CN"/>
        </w:rPr>
        <w:t>4.演艺互动体验区，面积为928.07平方米。该区域围绕三国文化、传统民俗、非遗文化打造具有游客互动体验功能的演出场景，可结合演出内容为游客提供妆造拍摄、科技体验等文旅服务类消费项目。</w:t>
      </w:r>
    </w:p>
    <w:p w14:paraId="59CEE940">
      <w:pPr>
        <w:pStyle w:val="3"/>
        <w:spacing w:before="0" w:after="0" w:line="600" w:lineRule="exact"/>
        <w:ind w:firstLine="640"/>
        <w:rPr>
          <w:rFonts w:hint="default" w:eastAsia="方正仿宋_GBK"/>
          <w:sz w:val="32"/>
          <w:szCs w:val="32"/>
          <w:lang w:val="en-US" w:eastAsia="zh-CN"/>
        </w:rPr>
      </w:pPr>
      <w:r>
        <w:rPr>
          <w:rFonts w:hint="eastAsia" w:eastAsia="方正仿宋_GBK"/>
          <w:sz w:val="32"/>
          <w:szCs w:val="32"/>
          <w:lang w:val="en-US" w:eastAsia="zh-CN"/>
        </w:rPr>
        <w:t>5.文商旅融合消费体验区（含壹号院主体建筑，</w:t>
      </w:r>
      <w:r>
        <w:rPr>
          <w:rFonts w:hint="default" w:ascii="Times New Roman" w:hAnsi="Times New Roman" w:eastAsia="方正仿宋_GBK" w:cs="Times New Roman"/>
          <w:sz w:val="32"/>
          <w:szCs w:val="32"/>
        </w:rPr>
        <w:t>1层商业空间面积1551.55平方米；2层商业空间面积1143.65平方米</w:t>
      </w:r>
      <w:r>
        <w:rPr>
          <w:rFonts w:hint="eastAsia" w:eastAsia="方正仿宋_GBK"/>
          <w:sz w:val="32"/>
          <w:szCs w:val="32"/>
          <w:lang w:val="en-US" w:eastAsia="zh-CN"/>
        </w:rPr>
        <w:t>），面积为3155.2平方米。该区域围绕三国文化、以天府文化为核心的传统民俗以及四川地区的非物质文化遗产技艺，开展以商业主题为核心的街区场景打造与高品质商品销售。主要分为“潮玩文创区”“美食品鉴区”“传统文化展演区”“科技体验区”。</w:t>
      </w:r>
    </w:p>
    <w:p w14:paraId="6455A1B4">
      <w:pPr>
        <w:spacing w:line="600" w:lineRule="exact"/>
        <w:ind w:firstLine="640" w:firstLineChars="200"/>
        <w:rPr>
          <w:rFonts w:hint="eastAsia" w:ascii="Times New Roman Regular" w:hAnsi="Times New Roman Regular" w:eastAsia="方正仿宋_GBK" w:cs="Times New Roman Regular"/>
          <w:sz w:val="32"/>
          <w:szCs w:val="32"/>
        </w:rPr>
      </w:pPr>
      <w:r>
        <w:rPr>
          <w:rFonts w:ascii="Times New Roman" w:hAnsi="Times New Roman" w:eastAsia="仿宋" w:cs="Times New Roman"/>
          <w:bCs/>
          <w:sz w:val="32"/>
          <w:szCs w:val="32"/>
        </w:rPr>
        <w:t>根据《中华人民共和国房地产管理法》《中华人民共和国行政事业性国有资产管理条例》（国务院令第738号）《国有资产评估管理若干问题的规定》（财政部令第14号）相关规定</w:t>
      </w:r>
      <w:r>
        <w:rPr>
          <w:rFonts w:hint="eastAsia" w:ascii="Times New Roman" w:hAnsi="Times New Roman" w:eastAsia="仿宋" w:cs="Times New Roman"/>
          <w:bCs/>
          <w:sz w:val="32"/>
          <w:szCs w:val="32"/>
          <w:lang w:eastAsia="zh-CN"/>
        </w:rPr>
        <w:t>，</w:t>
      </w:r>
      <w:r>
        <w:rPr>
          <w:rFonts w:hint="eastAsia" w:ascii="Times New Roman Regular" w:hAnsi="Times New Roman Regular" w:eastAsia="方正仿宋_GBK" w:cs="Times New Roman Regular"/>
          <w:sz w:val="32"/>
          <w:szCs w:val="32"/>
        </w:rPr>
        <w:t>根据馆方工作安排，完成对</w:t>
      </w:r>
      <w:r>
        <w:rPr>
          <w:rFonts w:hint="eastAsia" w:ascii="Times New Roman Regular" w:hAnsi="Times New Roman Regular" w:eastAsia="方正仿宋_GBK" w:cs="Times New Roman Regular"/>
          <w:sz w:val="32"/>
          <w:szCs w:val="32"/>
          <w:lang w:val="en-US" w:eastAsia="zh-CN"/>
        </w:rPr>
        <w:t>锦里壹号院片区</w:t>
      </w:r>
      <w:r>
        <w:rPr>
          <w:rFonts w:hint="eastAsia" w:ascii="Times New Roman Regular" w:hAnsi="Times New Roman Regular" w:eastAsia="方正仿宋_GBK" w:cs="Times New Roman Regular"/>
          <w:sz w:val="32"/>
          <w:szCs w:val="32"/>
        </w:rPr>
        <w:t>租金底价（元/平方米/月）</w:t>
      </w:r>
      <w:r>
        <w:rPr>
          <w:rFonts w:hint="eastAsia" w:ascii="Times New Roman Regular" w:hAnsi="Times New Roman Regular" w:eastAsia="方正仿宋_GBK" w:cs="Times New Roman Regular"/>
          <w:sz w:val="32"/>
          <w:szCs w:val="32"/>
          <w:lang w:val="en-US" w:eastAsia="zh-CN"/>
        </w:rPr>
        <w:t>的</w:t>
      </w:r>
      <w:r>
        <w:rPr>
          <w:rFonts w:hint="eastAsia" w:ascii="Times New Roman Regular" w:hAnsi="Times New Roman Regular" w:eastAsia="方正仿宋_GBK" w:cs="Times New Roman Regular"/>
          <w:sz w:val="32"/>
          <w:szCs w:val="32"/>
        </w:rPr>
        <w:t>评估，并出具评估报告。</w:t>
      </w:r>
    </w:p>
    <w:p w14:paraId="3DC0515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三、服务内容及要求：</w:t>
      </w:r>
    </w:p>
    <w:p w14:paraId="10687BDC">
      <w:pPr>
        <w:spacing w:line="600" w:lineRule="exact"/>
        <w:ind w:firstLine="640" w:firstLineChars="200"/>
        <w:rPr>
          <w:rFonts w:ascii="Times New Roman" w:hAnsi="Times New Roman" w:eastAsia="仿宋" w:cs="Times New Roman"/>
          <w:bCs/>
          <w:sz w:val="32"/>
          <w:szCs w:val="32"/>
        </w:rPr>
      </w:pPr>
      <w:r>
        <w:rPr>
          <w:rFonts w:hint="eastAsia" w:eastAsia="仿宋" w:cs="Times New Roman"/>
          <w:b w:val="0"/>
          <w:bCs/>
          <w:sz w:val="32"/>
          <w:szCs w:val="32"/>
        </w:rPr>
        <w:t>（一）</w:t>
      </w:r>
      <w:r>
        <w:rPr>
          <w:rFonts w:ascii="Times New Roman" w:hAnsi="Times New Roman" w:eastAsia="仿宋" w:cs="Times New Roman"/>
          <w:bCs/>
          <w:sz w:val="32"/>
          <w:szCs w:val="32"/>
        </w:rPr>
        <w:t>服务时间安排：资料收集完成后</w:t>
      </w:r>
      <w:r>
        <w:rPr>
          <w:rFonts w:hint="eastAsia" w:ascii="Times New Roman" w:hAnsi="Times New Roman" w:eastAsia="仿宋" w:cs="Times New Roman"/>
          <w:bCs/>
          <w:sz w:val="32"/>
          <w:szCs w:val="32"/>
        </w:rPr>
        <w:t>1</w:t>
      </w:r>
      <w:r>
        <w:rPr>
          <w:rFonts w:hint="eastAsia" w:ascii="Times New Roman" w:hAnsi="Times New Roman" w:eastAsia="仿宋" w:cs="Times New Roman"/>
          <w:bCs/>
          <w:sz w:val="32"/>
          <w:szCs w:val="32"/>
          <w:lang w:val="en-US" w:eastAsia="zh-CN"/>
        </w:rPr>
        <w:t>5</w:t>
      </w:r>
      <w:r>
        <w:rPr>
          <w:rFonts w:ascii="Times New Roman" w:hAnsi="Times New Roman" w:eastAsia="仿宋" w:cs="Times New Roman"/>
          <w:bCs/>
          <w:sz w:val="32"/>
          <w:szCs w:val="32"/>
        </w:rPr>
        <w:t>个工作日内出具评估报告。</w:t>
      </w:r>
    </w:p>
    <w:p w14:paraId="05A4EA71">
      <w:pPr>
        <w:spacing w:line="60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w:t>
      </w:r>
      <w:r>
        <w:rPr>
          <w:rFonts w:hint="eastAsia" w:ascii="Times New Roman" w:hAnsi="Times New Roman" w:eastAsia="仿宋" w:cs="Times New Roman"/>
          <w:bCs/>
          <w:sz w:val="32"/>
          <w:szCs w:val="32"/>
          <w:lang w:val="en-US" w:eastAsia="zh-CN"/>
        </w:rPr>
        <w:t>二</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保证对本项目相关的商业、技术等机密信息和资料保守秘密</w:t>
      </w:r>
      <w:r>
        <w:rPr>
          <w:rFonts w:hint="eastAsia" w:ascii="Times New Roman" w:hAnsi="Times New Roman" w:eastAsia="仿宋" w:cs="Times New Roman"/>
          <w:bCs/>
          <w:sz w:val="32"/>
          <w:szCs w:val="32"/>
        </w:rPr>
        <w:t>，且</w:t>
      </w:r>
      <w:r>
        <w:rPr>
          <w:rFonts w:ascii="Times New Roman" w:hAnsi="Times New Roman" w:eastAsia="仿宋" w:cs="Times New Roman"/>
          <w:bCs/>
          <w:sz w:val="32"/>
          <w:szCs w:val="32"/>
        </w:rPr>
        <w:t>保密期限不受合同期限限制。</w:t>
      </w:r>
    </w:p>
    <w:p w14:paraId="0D39C42E">
      <w:pPr>
        <w:spacing w:line="60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w:t>
      </w:r>
      <w:r>
        <w:rPr>
          <w:rFonts w:hint="eastAsia" w:ascii="Times New Roman" w:hAnsi="Times New Roman" w:eastAsia="仿宋" w:cs="Times New Roman"/>
          <w:bCs/>
          <w:sz w:val="32"/>
          <w:szCs w:val="32"/>
          <w:lang w:val="en-US" w:eastAsia="zh-CN"/>
        </w:rPr>
        <w:t>三</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评估报告提供估价结果报告纸质版2份。</w:t>
      </w:r>
    </w:p>
    <w:p w14:paraId="4A735B5C">
      <w:pPr>
        <w:spacing w:line="60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w:t>
      </w:r>
      <w:r>
        <w:rPr>
          <w:rFonts w:hint="eastAsia" w:ascii="Times New Roman" w:hAnsi="Times New Roman" w:eastAsia="仿宋" w:cs="Times New Roman"/>
          <w:bCs/>
          <w:sz w:val="32"/>
          <w:szCs w:val="32"/>
          <w:lang w:val="en-US" w:eastAsia="zh-CN"/>
        </w:rPr>
        <w:t>四</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服务期限：</w:t>
      </w:r>
      <w:r>
        <w:rPr>
          <w:rFonts w:hint="eastAsia" w:ascii="Times New Roman" w:hAnsi="Times New Roman" w:eastAsia="仿宋" w:cs="Times New Roman"/>
          <w:bCs/>
          <w:sz w:val="32"/>
          <w:szCs w:val="32"/>
        </w:rPr>
        <w:t>合同签订日</w:t>
      </w:r>
      <w:r>
        <w:rPr>
          <w:rFonts w:hint="eastAsia" w:ascii="Times New Roman" w:hAnsi="Times New Roman" w:eastAsia="仿宋" w:cs="Times New Roman"/>
          <w:bCs/>
          <w:sz w:val="32"/>
          <w:szCs w:val="32"/>
          <w:lang w:val="en-US" w:eastAsia="zh-CN"/>
        </w:rPr>
        <w:t>至验收完成后</w:t>
      </w:r>
      <w:r>
        <w:rPr>
          <w:rFonts w:ascii="Times New Roman" w:hAnsi="Times New Roman" w:eastAsia="仿宋" w:cs="Times New Roman"/>
          <w:bCs/>
          <w:sz w:val="32"/>
          <w:szCs w:val="32"/>
        </w:rPr>
        <w:t>。</w:t>
      </w:r>
    </w:p>
    <w:p w14:paraId="1069D7B7">
      <w:pPr>
        <w:spacing w:line="60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w:t>
      </w:r>
      <w:r>
        <w:rPr>
          <w:rFonts w:hint="eastAsia" w:ascii="Times New Roman" w:hAnsi="Times New Roman" w:eastAsia="仿宋" w:cs="Times New Roman"/>
          <w:bCs/>
          <w:sz w:val="32"/>
          <w:szCs w:val="32"/>
          <w:lang w:val="en-US" w:eastAsia="zh-CN"/>
        </w:rPr>
        <w:t>五</w:t>
      </w:r>
      <w:r>
        <w:rPr>
          <w:rFonts w:hint="eastAsia" w:ascii="Times New Roman" w:hAnsi="Times New Roman" w:eastAsia="仿宋" w:cs="Times New Roman"/>
          <w:bCs/>
          <w:sz w:val="32"/>
          <w:szCs w:val="32"/>
        </w:rPr>
        <w:t>）</w:t>
      </w:r>
      <w:r>
        <w:rPr>
          <w:rFonts w:hint="eastAsia" w:ascii="Times New Roman Regular" w:hAnsi="Times New Roman Regular" w:eastAsia="方正仿宋_GBK" w:cs="Times New Roman Regular"/>
          <w:color w:val="000000"/>
          <w:sz w:val="32"/>
          <w:szCs w:val="30"/>
        </w:rPr>
        <w:t>评估依据：</w:t>
      </w:r>
      <w:r>
        <w:rPr>
          <w:rFonts w:ascii="Times New Roman Regular" w:hAnsi="Times New Roman Regular" w:eastAsia="方正仿宋_GBK" w:cs="Times New Roman Regular"/>
          <w:color w:val="000000"/>
          <w:sz w:val="32"/>
          <w:szCs w:val="30"/>
        </w:rPr>
        <w:t>四川省资产评估协会关于《资产评估机构报送资产评估服务收费标准》的通知（川评协〔2017〕23号）及《成都市房地产估价行业收费指导意见》（成房评协〔2016〕6号文）</w:t>
      </w:r>
      <w:r>
        <w:rPr>
          <w:rFonts w:hint="eastAsia" w:ascii="Times New Roman Regular" w:hAnsi="Times New Roman Regular" w:eastAsia="方正仿宋_GBK" w:cs="Times New Roman Regular"/>
          <w:color w:val="000000"/>
          <w:sz w:val="32"/>
          <w:szCs w:val="30"/>
        </w:rPr>
        <w:t>。</w:t>
      </w:r>
    </w:p>
    <w:p w14:paraId="0530027F">
      <w:pPr>
        <w:spacing w:line="600" w:lineRule="exact"/>
        <w:ind w:firstLine="640" w:firstLineChars="200"/>
        <w:rPr>
          <w:rFonts w:ascii="方正黑体_GBK" w:hAnsi="方正黑体_GBK" w:eastAsia="方正黑体_GBK" w:cs="方正黑体_GBK"/>
          <w:sz w:val="32"/>
          <w:szCs w:val="40"/>
        </w:rPr>
      </w:pPr>
      <w:r>
        <w:rPr>
          <w:rFonts w:ascii="方正黑体_GBK" w:hAnsi="方正黑体_GBK" w:eastAsia="方正黑体_GBK" w:cs="方正黑体_GBK"/>
          <w:sz w:val="32"/>
          <w:szCs w:val="40"/>
        </w:rPr>
        <w:t>四、供应商应具备的资格条件</w:t>
      </w:r>
    </w:p>
    <w:p w14:paraId="7927B787">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1.具有独立承担民事责任的能力。</w:t>
      </w:r>
    </w:p>
    <w:p w14:paraId="6C2F78E7">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2.具有健全的财务会计制度：提供具有健全的财务会计制度的承诺函。</w:t>
      </w:r>
    </w:p>
    <w:p w14:paraId="31685D58">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3.具有履行合同所必需的专业技术能力：提供具备履行合同所必需的专业技术能力的承诺函。</w:t>
      </w:r>
    </w:p>
    <w:p w14:paraId="54CA2BCC">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4.提供有效的法人身份证及营业执照复印件。</w:t>
      </w:r>
    </w:p>
    <w:p w14:paraId="68D96522">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5.评估机构已取得省级以上国有资产评估资格，且连续三年在行业内部综合评价中取得3A。</w:t>
      </w:r>
    </w:p>
    <w:p w14:paraId="56559161">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6.具有依法缴纳税收和社会保障资金的良好记录。</w:t>
      </w:r>
    </w:p>
    <w:p w14:paraId="7475BD29">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7.负责本项目的评估师注册时间要超过5年。</w:t>
      </w:r>
    </w:p>
    <w:p w14:paraId="49FE2C14">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8.截至2025年12月31日</w:t>
      </w:r>
      <w:r>
        <w:rPr>
          <w:rFonts w:hint="eastAsia" w:ascii="Times New Roman Regular" w:hAnsi="Times New Roman Regular" w:eastAsia="方正仿宋_GBK" w:cs="Times New Roman Regular"/>
          <w:sz w:val="32"/>
          <w:szCs w:val="40"/>
        </w:rPr>
        <w:t>，供应商为“</w:t>
      </w:r>
      <w:r>
        <w:rPr>
          <w:rFonts w:ascii="Times New Roman Regular" w:hAnsi="Times New Roman Regular" w:eastAsia="方正仿宋_GBK" w:cs="Times New Roman Regular"/>
          <w:sz w:val="32"/>
          <w:szCs w:val="40"/>
        </w:rPr>
        <w:t>四川省财政厅</w:t>
      </w:r>
      <w:r>
        <w:rPr>
          <w:rFonts w:hint="eastAsia" w:ascii="Times New Roman Regular" w:hAnsi="Times New Roman Regular" w:eastAsia="方正仿宋_GBK" w:cs="Times New Roman Regular"/>
          <w:sz w:val="32"/>
          <w:szCs w:val="40"/>
        </w:rPr>
        <w:t>已备案资产评估机构”</w:t>
      </w:r>
      <w:r>
        <w:rPr>
          <w:rFonts w:ascii="Times New Roman Regular" w:hAnsi="Times New Roman Regular" w:eastAsia="方正仿宋_GBK" w:cs="Times New Roman Regular"/>
          <w:sz w:val="32"/>
          <w:szCs w:val="40"/>
        </w:rPr>
        <w:t>。</w:t>
      </w:r>
    </w:p>
    <w:p w14:paraId="5157F772">
      <w:pPr>
        <w:spacing w:line="600" w:lineRule="exact"/>
        <w:ind w:firstLine="640" w:firstLineChars="200"/>
      </w:pPr>
      <w:r>
        <w:rPr>
          <w:rFonts w:ascii="Times New Roman Regular" w:hAnsi="Times New Roman Regular" w:eastAsia="方正仿宋_GBK" w:cs="Times New Roman Regular"/>
          <w:sz w:val="32"/>
          <w:szCs w:val="40"/>
        </w:rPr>
        <w:t>注意：以上文件均需加盖公章。</w:t>
      </w:r>
    </w:p>
    <w:p w14:paraId="4AD9D24E"/>
    <w:p w14:paraId="7E6D212A"/>
    <w:p w14:paraId="110F8ECB"/>
    <w:p w14:paraId="45704235">
      <w:pPr>
        <w:widowControl/>
        <w:jc w:val="left"/>
        <w:rPr>
          <w:rFonts w:hint="eastAsia" w:ascii="方正黑体_GBK" w:hAnsi="仿宋" w:eastAsia="方正黑体_GBK" w:cs="仿宋"/>
          <w:kern w:val="0"/>
          <w:sz w:val="32"/>
          <w:szCs w:val="30"/>
        </w:rPr>
      </w:pPr>
    </w:p>
    <w:p w14:paraId="189857FC">
      <w:pPr>
        <w:widowControl/>
        <w:jc w:val="left"/>
        <w:rPr>
          <w:rFonts w:hint="eastAsia" w:ascii="方正黑体_GBK" w:hAnsi="仿宋" w:eastAsia="方正黑体_GBK" w:cs="仿宋"/>
          <w:kern w:val="0"/>
          <w:sz w:val="32"/>
          <w:szCs w:val="30"/>
        </w:rPr>
      </w:pPr>
    </w:p>
    <w:p w14:paraId="7C17E08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062AE"/>
    <w:rsid w:val="1B506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b/>
    </w:rPr>
  </w:style>
  <w:style w:type="paragraph" w:styleId="3">
    <w:name w:val="Body Text"/>
    <w:qFormat/>
    <w:uiPriority w:val="0"/>
    <w:pPr>
      <w:widowControl w:val="0"/>
      <w:adjustRightInd w:val="0"/>
      <w:spacing w:before="100" w:after="100" w:line="300" w:lineRule="auto"/>
      <w:ind w:firstLine="1044" w:firstLineChars="200"/>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2026-06-15T08:10:00Z</dcterms:created>
  <dc:creator>解舒雯</dc:creator>
  <cp:lastModifiedBy>解舒雯</cp:lastModifiedBy>
  <dcterms:modified xsi:type="dcterms:W3CDTF">2026-06-15T08:10:30Z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D64B159392844CA6A9BBAA858044A52E_11</vt:lpwstr>
  </property>
  <property fmtid="{D5CDD505-2E9C-101B-9397-08002B2CF9AE}" pid="4" name="KSOTemplateDocerSaveRecord">
    <vt:lpwstr>eyJoZGlkIjoiYmI1OGE4YjIyMWI3OTZkNmUzMjQ5YWQxY2M3ODg0ZDYiLCJ1c2VySWQiOiIyNzcxMjQxMzgifQ==</vt:lpwstr>
  </property>
</Properties>
</file>